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18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851"/>
        <w:gridCol w:w="1173"/>
        <w:gridCol w:w="2476"/>
        <w:gridCol w:w="46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4500"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分值构成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(总分100分)</w:t>
            </w:r>
          </w:p>
        </w:tc>
        <w:tc>
          <w:tcPr>
            <w:tcW w:w="468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专业工程设计文件：</w:t>
            </w:r>
            <w:r>
              <w:rPr>
                <w:rFonts w:hint="eastAsia" w:ascii="宋体" w:hAnsi="宋体" w:eastAsia="宋体" w:cs="宋体"/>
                <w:b w:val="0"/>
                <w:i w:val="0"/>
                <w:caps w:val="0"/>
                <w:color w:val="000000"/>
                <w:spacing w:val="0"/>
                <w:sz w:val="18"/>
                <w:szCs w:val="18"/>
                <w:u w:val="single"/>
                <w:bdr w:val="none" w:color="auto" w:sz="0" w:space="0"/>
              </w:rPr>
              <w:t>≤20</w:t>
            </w:r>
            <w:r>
              <w:rPr>
                <w:rFonts w:hint="eastAsia" w:ascii="宋体" w:hAnsi="宋体" w:eastAsia="宋体" w:cs="宋体"/>
                <w:b w:val="0"/>
                <w:i w:val="0"/>
                <w:caps w:val="0"/>
                <w:color w:val="000000"/>
                <w:spacing w:val="0"/>
                <w:sz w:val="18"/>
                <w:szCs w:val="18"/>
                <w:bdr w:val="none" w:color="auto" w:sz="0" w:space="0"/>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投标报价：</w:t>
            </w:r>
            <w:r>
              <w:rPr>
                <w:rFonts w:hint="eastAsia" w:ascii="宋体" w:hAnsi="宋体" w:eastAsia="宋体" w:cs="宋体"/>
                <w:b w:val="0"/>
                <w:i w:val="0"/>
                <w:caps w:val="0"/>
                <w:color w:val="000000"/>
                <w:spacing w:val="0"/>
                <w:sz w:val="18"/>
                <w:szCs w:val="18"/>
                <w:u w:val="single"/>
                <w:bdr w:val="none" w:color="auto" w:sz="0" w:space="0"/>
              </w:rPr>
              <w:t>≥68</w:t>
            </w:r>
            <w:r>
              <w:rPr>
                <w:rFonts w:hint="eastAsia" w:ascii="宋体" w:hAnsi="宋体" w:eastAsia="宋体" w:cs="宋体"/>
                <w:b w:val="0"/>
                <w:i w:val="0"/>
                <w:caps w:val="0"/>
                <w:color w:val="000000"/>
                <w:spacing w:val="0"/>
                <w:sz w:val="18"/>
                <w:szCs w:val="18"/>
                <w:bdr w:val="none" w:color="auto" w:sz="0" w:space="0"/>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项目管理组织方案：</w:t>
            </w:r>
            <w:r>
              <w:rPr>
                <w:rFonts w:hint="eastAsia" w:ascii="宋体" w:hAnsi="宋体" w:eastAsia="宋体" w:cs="宋体"/>
                <w:b w:val="0"/>
                <w:i w:val="0"/>
                <w:caps w:val="0"/>
                <w:color w:val="000000"/>
                <w:spacing w:val="0"/>
                <w:sz w:val="18"/>
                <w:szCs w:val="18"/>
                <w:u w:val="single"/>
                <w:bdr w:val="none" w:color="auto" w:sz="0" w:space="0"/>
              </w:rPr>
              <w:t>≤10</w:t>
            </w:r>
            <w:r>
              <w:rPr>
                <w:rFonts w:hint="eastAsia" w:ascii="宋体" w:hAnsi="宋体" w:eastAsia="宋体" w:cs="宋体"/>
                <w:b w:val="0"/>
                <w:i w:val="0"/>
                <w:caps w:val="0"/>
                <w:color w:val="000000"/>
                <w:spacing w:val="0"/>
                <w:sz w:val="18"/>
                <w:szCs w:val="18"/>
                <w:bdr w:val="none" w:color="auto" w:sz="0" w:space="0"/>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工程业绩：</w:t>
            </w:r>
            <w:r>
              <w:rPr>
                <w:rFonts w:hint="eastAsia" w:ascii="宋体" w:hAnsi="宋体" w:eastAsia="宋体" w:cs="宋体"/>
                <w:b w:val="0"/>
                <w:i w:val="0"/>
                <w:caps w:val="0"/>
                <w:color w:val="000000"/>
                <w:spacing w:val="0"/>
                <w:sz w:val="18"/>
                <w:szCs w:val="18"/>
                <w:u w:val="single"/>
                <w:bdr w:val="none" w:color="auto" w:sz="0" w:space="0"/>
              </w:rPr>
              <w:t>≤2</w:t>
            </w:r>
            <w:r>
              <w:rPr>
                <w:rFonts w:hint="eastAsia" w:ascii="宋体" w:hAnsi="宋体" w:eastAsia="宋体" w:cs="宋体"/>
                <w:b w:val="0"/>
                <w:i w:val="0"/>
                <w:caps w:val="0"/>
                <w:color w:val="000000"/>
                <w:spacing w:val="0"/>
                <w:sz w:val="18"/>
                <w:szCs w:val="18"/>
                <w:bdr w:val="none" w:color="auto" w:sz="0" w:space="0"/>
              </w:rPr>
              <w:t>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5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序号</w:t>
            </w:r>
          </w:p>
        </w:tc>
        <w:tc>
          <w:tcPr>
            <w:tcW w:w="117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评分项</w:t>
            </w:r>
          </w:p>
        </w:tc>
        <w:tc>
          <w:tcPr>
            <w:tcW w:w="24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评分因素（偏差率）</w:t>
            </w:r>
          </w:p>
        </w:tc>
        <w:tc>
          <w:tcPr>
            <w:tcW w:w="46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000000"/>
                <w:spacing w:val="0"/>
                <w:sz w:val="18"/>
                <w:szCs w:val="18"/>
                <w:bdr w:val="none" w:color="auto" w:sz="0" w:space="0"/>
              </w:rPr>
              <w:t>评分标准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5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1</w:t>
            </w:r>
          </w:p>
        </w:tc>
        <w:tc>
          <w:tcPr>
            <w:tcW w:w="1173"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专业工程设计文件（≤20分）</w:t>
            </w:r>
          </w:p>
        </w:tc>
        <w:tc>
          <w:tcPr>
            <w:tcW w:w="24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1．设计说明（2-5分）</w:t>
            </w:r>
          </w:p>
        </w:tc>
        <w:tc>
          <w:tcPr>
            <w:tcW w:w="46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1．设计说明能对项目的设计方案解读准确，构思新颖。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2．项目设计的各项主要技术经济指标是否满足招标人功能需求。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3．项目设计是否国家规范标准及地方规划要求。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8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2．专业工程设计文件（5-10分）</w:t>
            </w:r>
          </w:p>
        </w:tc>
        <w:tc>
          <w:tcPr>
            <w:tcW w:w="46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1．设计文件是否满足设计任务书要求。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2．设计文件是否符合国家规范标准及地方规划要求。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3．工程设计文件的先进性、完整性、实用性以及工程造价等方面进行评比。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4、与建筑的协调性。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8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3. 新技术、新材料、新设备和新结构应用（1-2分）</w:t>
            </w:r>
          </w:p>
        </w:tc>
        <w:tc>
          <w:tcPr>
            <w:tcW w:w="46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1.对采用新技术、新材料、新设备和新结构的内容进行评比。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8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4．绿色设计和装配化（</w:t>
            </w:r>
            <w:r>
              <w:rPr>
                <w:rFonts w:hint="eastAsia" w:ascii="宋体" w:hAnsi="宋体" w:eastAsia="宋体" w:cs="宋体"/>
                <w:b w:val="0"/>
                <w:i w:val="0"/>
                <w:caps w:val="0"/>
                <w:color w:val="000000"/>
                <w:spacing w:val="0"/>
                <w:sz w:val="18"/>
                <w:szCs w:val="18"/>
                <w:u w:val="single"/>
                <w:bdr w:val="none" w:color="auto" w:sz="0" w:space="0"/>
              </w:rPr>
              <w:t>≤1</w:t>
            </w:r>
            <w:r>
              <w:rPr>
                <w:rFonts w:hint="eastAsia" w:ascii="宋体" w:hAnsi="宋体" w:eastAsia="宋体" w:cs="宋体"/>
                <w:b w:val="0"/>
                <w:i w:val="0"/>
                <w:caps w:val="0"/>
                <w:color w:val="000000"/>
                <w:spacing w:val="0"/>
                <w:sz w:val="18"/>
                <w:szCs w:val="18"/>
                <w:bdr w:val="none" w:color="auto" w:sz="0" w:space="0"/>
              </w:rPr>
              <w:t>分）</w:t>
            </w:r>
          </w:p>
        </w:tc>
        <w:tc>
          <w:tcPr>
            <w:tcW w:w="46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1.采用科学合理的绿色建筑（建筑节能）措施。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2.提出切实可行的生态建筑理念与措施，符合国家及地方的有关绿色建筑标准。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3.对装配式建筑设计先进性、合理性、规范符合性进行评比。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8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5、设计深度（0-2分）</w:t>
            </w:r>
          </w:p>
        </w:tc>
        <w:tc>
          <w:tcPr>
            <w:tcW w:w="46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1．是否符合设计任务书要求。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2．是否符合国家规定的《建筑工程设计文件编制深度规定》。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注：本项可视设计深度符合程度在0~2分之间酌情打分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8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7156"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注：招标人可根据项目的实际情况选择增加上述各评分因素，但“评审项”分值不得调整；也可在招标文件中细化明确评分标准的内容，但一般不得突破各评分因素的规定分值。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012" w:hRule="atLeast"/>
        </w:trPr>
        <w:tc>
          <w:tcPr>
            <w:tcW w:w="85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2</w:t>
            </w:r>
          </w:p>
        </w:tc>
        <w:tc>
          <w:tcPr>
            <w:tcW w:w="1173"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投标报价（≥68分）</w:t>
            </w:r>
          </w:p>
        </w:tc>
        <w:tc>
          <w:tcPr>
            <w:tcW w:w="24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报价评审（包括设计费、工程费）（≥66分）</w:t>
            </w:r>
          </w:p>
        </w:tc>
        <w:tc>
          <w:tcPr>
            <w:tcW w:w="46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方法一：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以有效投标文件的最低评标价为评标基准价。投标报价等于评标基准价的得满分，每高1%的所扣分值不少于0.6分。偏离不足1%的，按照插入法计算得分。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方法二：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以有效投标文件的工程总承包报价进行算术平均，该平均值下浮 5%-10%（具体数值由招标人在招标文件中明确）为评标基准价。工程总承包投标报价等于或者低于评标基准价的得满分，每高1%的所扣分值不少于0.6分。偏离不足1%的，按照插入法计算得分。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012" w:hRule="atLeast"/>
        </w:trPr>
        <w:tc>
          <w:tcPr>
            <w:tcW w:w="851" w:type="dxa"/>
            <w:vMerge w:val="continue"/>
            <w:tcBorders>
              <w:top w:val="nil"/>
              <w:left w:val="single" w:color="auto" w:sz="8" w:space="0"/>
              <w:bottom w:val="single" w:color="auto" w:sz="4"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4"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tcBorders>
              <w:top w:val="nil"/>
              <w:left w:val="nil"/>
              <w:bottom w:val="single" w:color="auto" w:sz="4"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投标报价合理性（≤2 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 </w:t>
            </w:r>
          </w:p>
        </w:tc>
        <w:tc>
          <w:tcPr>
            <w:tcW w:w="4680" w:type="dxa"/>
            <w:tcBorders>
              <w:top w:val="nil"/>
              <w:left w:val="nil"/>
              <w:bottom w:val="single" w:color="auto" w:sz="4"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该项评审因素是否设立，由招标人自主确定，本项指标用于对工程总承包报价中不合理报价的评价，以下评审方法供参考：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1．工程总承包报价是否与招标范围相一致；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2．工程总承包报价是否与投标方案设计文件相匹配；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3．工程总承包报价是否与投标项目管理组织方案相匹配；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4．工程总承包报价中的风险金计取是否明确、合理。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130" w:hRule="atLeast"/>
        </w:trPr>
        <w:tc>
          <w:tcPr>
            <w:tcW w:w="851" w:type="dxa"/>
            <w:vMerge w:val="continue"/>
            <w:tcBorders>
              <w:top w:val="single" w:color="auto" w:sz="4"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bookmarkStart w:id="0" w:name="_GoBack"/>
          </w:p>
        </w:tc>
        <w:tc>
          <w:tcPr>
            <w:tcW w:w="1173" w:type="dxa"/>
            <w:vMerge w:val="continue"/>
            <w:tcBorders>
              <w:top w:val="single" w:color="auto" w:sz="4"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tcBorders>
              <w:top w:val="single" w:color="auto" w:sz="4" w:space="0"/>
              <w:left w:val="nil"/>
              <w:bottom w:val="nil"/>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 </w:t>
            </w:r>
          </w:p>
        </w:tc>
        <w:tc>
          <w:tcPr>
            <w:tcW w:w="4680" w:type="dxa"/>
            <w:tcBorders>
              <w:top w:val="single" w:color="auto" w:sz="4" w:space="0"/>
              <w:left w:val="nil"/>
              <w:bottom w:val="nil"/>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1.评标价指经澄清、补正和修正算术计算错误的投标报价；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2.有效投标文件是指未被评标委员会判定为无效标的投标文件。</w:t>
            </w:r>
          </w:p>
        </w:tc>
      </w:tr>
      <w:bookmarkEnd w:id="0"/>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85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3</w:t>
            </w:r>
          </w:p>
        </w:tc>
        <w:tc>
          <w:tcPr>
            <w:tcW w:w="1173"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项目管理组织方案（≤10分）</w:t>
            </w:r>
          </w:p>
        </w:tc>
        <w:tc>
          <w:tcPr>
            <w:tcW w:w="247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1．总体概述（1-2分）</w:t>
            </w:r>
          </w:p>
        </w:tc>
        <w:tc>
          <w:tcPr>
            <w:tcW w:w="468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对工程总承包的总体设想、组织形式、各项管理目标及控制措施、设计、施工实施计划、设计与施工的协调措施等内容进行评分。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8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2．施工的重点难点（1-2分）</w:t>
            </w:r>
          </w:p>
        </w:tc>
        <w:tc>
          <w:tcPr>
            <w:tcW w:w="46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对关键施工技术、工艺及工程项目实施的重点、难点和解决方案等内容进行评分。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8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3. 施工资源投入计划（≤1分）</w:t>
            </w:r>
          </w:p>
        </w:tc>
        <w:tc>
          <w:tcPr>
            <w:tcW w:w="4680"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对劳动力、机械设备和材料投入计划进行评分。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8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4.新技术、新产品、新工艺、新材料应用（≤1分）</w:t>
            </w:r>
          </w:p>
        </w:tc>
        <w:tc>
          <w:tcPr>
            <w:tcW w:w="4680"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对采用新技术、新产品、新工艺、新材料的情况进行评分。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8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5．工程总承包项目经理陈述及答辩（≤2分）</w:t>
            </w:r>
          </w:p>
        </w:tc>
        <w:tc>
          <w:tcPr>
            <w:tcW w:w="46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招标人可以要求投标工程总承包项目经理在评标环节陈述项目管理组织方案的主要内容或者现场回答评标委员会提出的问题（以书面为主），评分分值控制在2分以内。评标委员会拟定答辩题目时，应同时明确答案及得分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8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6．项目管理机构（1-2分）</w:t>
            </w:r>
          </w:p>
        </w:tc>
        <w:tc>
          <w:tcPr>
            <w:tcW w:w="46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对工程总承包项目经理、设计负责人、施工项目经理、项目管理机构人员配置情况及取得的专业类别、技术职称级别、岗位证书、执业资格、工作经历等，招标文件中明确一定的标准进行评分。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8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7156"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注：1．招标人可根据项目的实际情况选择增加上述各评分因素，但“评审项”分值不得调整；也可在招标文件中细化明确评分标准的内容，但一般不得突破各评分因素的规定分值。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2．项目管理组织方案总篇幅一般不超过100页（技术特别复杂的工程可适当增加），具体篇幅(字数)要求及扣分标准，招标人应在招标文件中明确。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3．项目管理组织方案各评分点得分应当取所有技术标评委评分中分别去掉一个最高和最低评分后的平均值为最终得分。项目管理组织方案中（项目管理机构评分点除外）除缺少相应内容的评审要点不得分外，其它各项评审要点得分不应低于该评审要点满分的70%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86" w:hRule="atLeast"/>
        </w:trPr>
        <w:tc>
          <w:tcPr>
            <w:tcW w:w="85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4</w:t>
            </w:r>
          </w:p>
        </w:tc>
        <w:tc>
          <w:tcPr>
            <w:tcW w:w="1173"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工程业绩（≤2分）</w:t>
            </w:r>
          </w:p>
        </w:tc>
        <w:tc>
          <w:tcPr>
            <w:tcW w:w="24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1．投标人类似工程业绩（≤1分）</w:t>
            </w:r>
          </w:p>
        </w:tc>
        <w:tc>
          <w:tcPr>
            <w:tcW w:w="46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对单位承担过类似及以上的工程总承包业绩加分，累计不超过1分（其类似工程执行苏建规字（2017）1号文的相应规定，招标文件中应当明确投标人承担过单个类似及以上工程的分值）。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注：联合体承担过的工程总承包业绩分值计算方法为：牵头方按该项分值的100%记取、参与方按该项分值的60%记取。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20" w:hRule="atLeast"/>
        </w:trPr>
        <w:tc>
          <w:tcPr>
            <w:tcW w:w="85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117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18"/>
                <w:szCs w:val="18"/>
              </w:rPr>
            </w:pPr>
          </w:p>
        </w:tc>
        <w:tc>
          <w:tcPr>
            <w:tcW w:w="24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2．工程总承包项目经理类似工程业绩（≤1分）</w:t>
            </w:r>
          </w:p>
        </w:tc>
        <w:tc>
          <w:tcPr>
            <w:tcW w:w="46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 w:val="0"/>
                <w:i w:val="0"/>
                <w:caps w:val="0"/>
                <w:color w:val="000000"/>
                <w:spacing w:val="0"/>
                <w:sz w:val="18"/>
                <w:szCs w:val="18"/>
                <w:bdr w:val="none" w:color="auto" w:sz="0" w:space="0"/>
              </w:rPr>
              <w:t>对工程总承包项目经理承担过类似及以上的工程总承包业绩加分，累计不超过1分（其类似工程执行苏建规字（2017）1号文的相应规定，招标文件中应当明确投标工程总承包项目经理承担过单个类似及以上工程的分值）。</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E81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2018-02-12T01:19:19Z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