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51"/>
        <w:gridCol w:w="1173"/>
        <w:gridCol w:w="2476"/>
        <w:gridCol w:w="4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450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分值构成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(总分100分)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工程总承包报价：</w:t>
            </w:r>
            <w:r>
              <w:rPr>
                <w:rFonts w:hint="eastAsia" w:ascii="宋体" w:hAnsi="宋体" w:eastAsia="宋体" w:cs="宋体"/>
                <w:b w:val="0"/>
                <w:i w:val="0"/>
                <w:caps w:val="0"/>
                <w:color w:val="000000"/>
                <w:spacing w:val="0"/>
                <w:sz w:val="18"/>
                <w:szCs w:val="18"/>
                <w:u w:val="single"/>
                <w:bdr w:val="none" w:color="auto" w:sz="0" w:space="0"/>
              </w:rPr>
              <w:t>≥85</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项目管理组织方案：</w:t>
            </w:r>
            <w:r>
              <w:rPr>
                <w:rFonts w:hint="eastAsia" w:ascii="宋体" w:hAnsi="宋体" w:eastAsia="宋体" w:cs="宋体"/>
                <w:b w:val="0"/>
                <w:i w:val="0"/>
                <w:caps w:val="0"/>
                <w:color w:val="000000"/>
                <w:spacing w:val="0"/>
                <w:sz w:val="18"/>
                <w:szCs w:val="18"/>
                <w:u w:val="single"/>
                <w:bdr w:val="none" w:color="auto" w:sz="0" w:space="0"/>
              </w:rPr>
              <w:t>≤13</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w:t>
            </w:r>
            <w:r>
              <w:rPr>
                <w:rFonts w:hint="eastAsia" w:ascii="宋体" w:hAnsi="宋体" w:eastAsia="宋体" w:cs="宋体"/>
                <w:b w:val="0"/>
                <w:i w:val="0"/>
                <w:caps w:val="0"/>
                <w:color w:val="000000"/>
                <w:spacing w:val="0"/>
                <w:sz w:val="18"/>
                <w:szCs w:val="18"/>
                <w:u w:val="single"/>
                <w:bdr w:val="none" w:color="auto" w:sz="0" w:space="0"/>
              </w:rPr>
              <w:t>≤2</w:t>
            </w:r>
            <w:r>
              <w:rPr>
                <w:rFonts w:hint="eastAsia" w:ascii="宋体" w:hAnsi="宋体" w:eastAsia="宋体" w:cs="宋体"/>
                <w:b w:val="0"/>
                <w:i w:val="0"/>
                <w:caps w:val="0"/>
                <w:color w:val="000000"/>
                <w:spacing w:val="0"/>
                <w:sz w:val="18"/>
                <w:szCs w:val="18"/>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序号</w:t>
            </w:r>
          </w:p>
        </w:tc>
        <w:tc>
          <w:tcPr>
            <w:tcW w:w="1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评分项</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评分因素（偏差率）</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sz w:val="18"/>
                <w:szCs w:val="18"/>
                <w:bdr w:val="none" w:color="auto" w:sz="0" w:space="0"/>
              </w:rPr>
              <w:t>评分标准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68" w:hRule="atLeast"/>
        </w:trPr>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工程总承包报价（≥85分）</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报价评审（工程总承包范围内的所有费用）（≥83分）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采用苏建招办（2017）7号文“二、投标报价评审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中方法五（ABC合成法）作为基准价的计算方法，或者在方法一至方法四中任选不少于两种计算方法在开标时随机抽取确定基准价。投标报价相对评标基准价每低1%的所扣分值不少于0.3分，每高1%的所扣分值为负偏离扣分的2倍；偏离不足1%的，按照插入法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83"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投标报价合理性（≤2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该项评审因素是否设立，由招标人自主确定，本项指标用于对工程总承包报价中不合理报价的评价，以下评审方法供参考：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1．工程总承包报价是否与招标范围相一致；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2．工程总承包报价是否与投标方案设计文件相匹配；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3．工程总承包报价是否与投标项目管理组织方案相匹配；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4．工程总承包报价中的风险金计取是否明确、合理。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55"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4680"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说明：1.评标价指经澄清、补正和修正算术计算错误的投标报价；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2.有效投标文件是指未被评标委员会判定为无效标的投标文件。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项目管理组织方案（≤13分）</w:t>
            </w:r>
          </w:p>
        </w:tc>
        <w:tc>
          <w:tcPr>
            <w:tcW w:w="24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1．总体概述（≤1分）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对工程总承包的总体设想、组织形式、各项管理目标及控制措施、施工实施计划、设计与施工的协调措施等内容进行评分。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2.设计管理方案（1-2分）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1．对项目解读准确、设计构思合理。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2．设计进度计划及控制措施。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3．设计质量管理制度及控制措施。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4．设计重点、难点及控制措施。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5．设计过程对工程总投资控制措施。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0"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3．采购管理方案（≤1分）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对采购工作程序、采购执行计划、采买、催交与检验、运输与交付、采购变更管理、仓储管理等内容进行评分。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4．施工平面布置规划（≤1分）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对施工现场平面布置和临时设施、临时道路布置等内容进行评分。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5．施工的重点难点（≤1分）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对关键施工技术、工艺及工程项目实施的重点、难点和解决方案等内容进行评分。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6．施工资源投入计划（≤1分）</w:t>
            </w:r>
          </w:p>
        </w:tc>
        <w:tc>
          <w:tcPr>
            <w:tcW w:w="4680"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对劳动力、机械设备和材料投入计划进行评分。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bookmarkStart w:id="0" w:name="_GoBack"/>
          </w:p>
        </w:tc>
        <w:tc>
          <w:tcPr>
            <w:tcW w:w="1173"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single" w:color="auto" w:sz="4"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7．项目管理机构（1-2分）</w:t>
            </w:r>
          </w:p>
        </w:tc>
        <w:tc>
          <w:tcPr>
            <w:tcW w:w="46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8．新技术、新产品、新工艺、新材料（≤1分）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对采用新技术、新产品、新工艺、新材料的情况进行评分。</w:t>
            </w:r>
          </w:p>
        </w:tc>
      </w:tr>
      <w:bookmarkEnd w:id="0"/>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2"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9．建筑信息模型（BIM）技术（≤1分）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对建筑信息模型（BIM）技术的使用等内容进行评分。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10．工程总承包项目经理陈述及答辩（≤2分）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15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6" w:hRule="atLeast"/>
        </w:trPr>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工程业绩（≤2分）</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1．投标人类似工程业绩（≤1分）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企业承担过类似及以上的工程总承包业绩加分，累计不超过1分（其类似工程执行苏建规字（2017）1号文的相应规定，招标文件中应当明确投标企业承担过单个类似及以上工程的分值），如仅有类似设计业绩乘0.8，如仅有类似施工业绩乘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注：联合体承担过的工程总承包业绩分值计算方法为：牵头方按该项分值的100%记取、参与方按该项分值的60%记取。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0"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2．工程总承包项目经理类似工程业绩（≤1分）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承担过类似及以上的工程总承包业绩加分，累计不超过1分（其类似工程执行苏建规字（2017）1号文的相应规定，招标文件中应当明确投标工程总承包项目经理承担过单个类似及以上工程的分值），如仅有类似设计业绩乘0.8，如仅有类似施工业绩乘0.7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ED0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2018-02-12T01:18:53Z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