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918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851"/>
        <w:gridCol w:w="1173"/>
        <w:gridCol w:w="2460"/>
        <w:gridCol w:w="16"/>
        <w:gridCol w:w="46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4500" w:type="dxa"/>
            <w:gridSpan w:val="4"/>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18"/>
                <w:szCs w:val="18"/>
                <w:bdr w:val="none" w:color="auto" w:sz="0" w:space="0"/>
              </w:rPr>
              <w:t>分值构成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18"/>
                <w:szCs w:val="18"/>
                <w:bdr w:val="none" w:color="auto" w:sz="0" w:space="0"/>
              </w:rPr>
              <w:t>(总分100分)</w:t>
            </w:r>
          </w:p>
        </w:tc>
        <w:tc>
          <w:tcPr>
            <w:tcW w:w="468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初步设计文件：</w:t>
            </w:r>
            <w:r>
              <w:rPr>
                <w:rFonts w:hint="eastAsia" w:ascii="宋体" w:hAnsi="宋体" w:eastAsia="宋体" w:cs="宋体"/>
                <w:b w:val="0"/>
                <w:i w:val="0"/>
                <w:caps w:val="0"/>
                <w:color w:val="000000"/>
                <w:spacing w:val="0"/>
                <w:sz w:val="18"/>
                <w:szCs w:val="18"/>
                <w:u w:val="single"/>
                <w:bdr w:val="none" w:color="auto" w:sz="0" w:space="0"/>
              </w:rPr>
              <w:t>≤25</w:t>
            </w:r>
            <w:r>
              <w:rPr>
                <w:rFonts w:hint="eastAsia" w:ascii="宋体" w:hAnsi="宋体" w:eastAsia="宋体" w:cs="宋体"/>
                <w:b w:val="0"/>
                <w:i w:val="0"/>
                <w:caps w:val="0"/>
                <w:color w:val="000000"/>
                <w:spacing w:val="0"/>
                <w:sz w:val="18"/>
                <w:szCs w:val="18"/>
                <w:bdr w:val="none" w:color="auto" w:sz="0" w:space="0"/>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工程总承包报价：</w:t>
            </w:r>
            <w:r>
              <w:rPr>
                <w:rFonts w:hint="eastAsia" w:ascii="宋体" w:hAnsi="宋体" w:eastAsia="宋体" w:cs="宋体"/>
                <w:b w:val="0"/>
                <w:i w:val="0"/>
                <w:caps w:val="0"/>
                <w:color w:val="000000"/>
                <w:spacing w:val="0"/>
                <w:sz w:val="18"/>
                <w:szCs w:val="18"/>
                <w:u w:val="single"/>
                <w:bdr w:val="none" w:color="auto" w:sz="0" w:space="0"/>
              </w:rPr>
              <w:t>≥60</w:t>
            </w:r>
            <w:r>
              <w:rPr>
                <w:rFonts w:hint="eastAsia" w:ascii="宋体" w:hAnsi="宋体" w:eastAsia="宋体" w:cs="宋体"/>
                <w:b w:val="0"/>
                <w:i w:val="0"/>
                <w:caps w:val="0"/>
                <w:color w:val="000000"/>
                <w:spacing w:val="0"/>
                <w:sz w:val="18"/>
                <w:szCs w:val="18"/>
                <w:bdr w:val="none" w:color="auto" w:sz="0" w:space="0"/>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项目管理组织方案：</w:t>
            </w:r>
            <w:r>
              <w:rPr>
                <w:rFonts w:hint="eastAsia" w:ascii="宋体" w:hAnsi="宋体" w:eastAsia="宋体" w:cs="宋体"/>
                <w:b w:val="0"/>
                <w:i w:val="0"/>
                <w:caps w:val="0"/>
                <w:color w:val="000000"/>
                <w:spacing w:val="0"/>
                <w:sz w:val="18"/>
                <w:szCs w:val="18"/>
                <w:u w:val="single"/>
                <w:bdr w:val="none" w:color="auto" w:sz="0" w:space="0"/>
              </w:rPr>
              <w:t>≤12</w:t>
            </w:r>
            <w:r>
              <w:rPr>
                <w:rFonts w:hint="eastAsia" w:ascii="宋体" w:hAnsi="宋体" w:eastAsia="宋体" w:cs="宋体"/>
                <w:b w:val="0"/>
                <w:i w:val="0"/>
                <w:caps w:val="0"/>
                <w:color w:val="000000"/>
                <w:spacing w:val="0"/>
                <w:sz w:val="18"/>
                <w:szCs w:val="18"/>
                <w:bdr w:val="none" w:color="auto" w:sz="0" w:space="0"/>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工程业绩：</w:t>
            </w:r>
            <w:r>
              <w:rPr>
                <w:rFonts w:hint="eastAsia" w:ascii="宋体" w:hAnsi="宋体" w:eastAsia="宋体" w:cs="宋体"/>
                <w:b w:val="0"/>
                <w:i w:val="0"/>
                <w:caps w:val="0"/>
                <w:color w:val="000000"/>
                <w:spacing w:val="0"/>
                <w:sz w:val="18"/>
                <w:szCs w:val="18"/>
                <w:u w:val="single"/>
                <w:bdr w:val="none" w:color="auto" w:sz="0" w:space="0"/>
              </w:rPr>
              <w:t>≤3</w:t>
            </w:r>
            <w:r>
              <w:rPr>
                <w:rFonts w:hint="eastAsia" w:ascii="宋体" w:hAnsi="宋体" w:eastAsia="宋体" w:cs="宋体"/>
                <w:b w:val="0"/>
                <w:i w:val="0"/>
                <w:caps w:val="0"/>
                <w:color w:val="000000"/>
                <w:spacing w:val="0"/>
                <w:sz w:val="18"/>
                <w:szCs w:val="18"/>
                <w:bdr w:val="none" w:color="auto" w:sz="0" w:space="0"/>
              </w:rPr>
              <w:t>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85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18"/>
                <w:szCs w:val="18"/>
                <w:bdr w:val="none" w:color="auto" w:sz="0" w:space="0"/>
              </w:rPr>
              <w:t>序号</w:t>
            </w:r>
          </w:p>
        </w:tc>
        <w:tc>
          <w:tcPr>
            <w:tcW w:w="117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18"/>
                <w:szCs w:val="18"/>
                <w:bdr w:val="none" w:color="auto" w:sz="0" w:space="0"/>
              </w:rPr>
              <w:t>评分项</w:t>
            </w:r>
          </w:p>
        </w:tc>
        <w:tc>
          <w:tcPr>
            <w:tcW w:w="2476"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18"/>
                <w:szCs w:val="18"/>
                <w:bdr w:val="none" w:color="auto" w:sz="0" w:space="0"/>
              </w:rPr>
              <w:t>评分</w:t>
            </w:r>
            <w:bookmarkStart w:id="0" w:name="_GoBack"/>
            <w:bookmarkEnd w:id="0"/>
            <w:r>
              <w:rPr>
                <w:rFonts w:hint="eastAsia" w:ascii="宋体" w:hAnsi="宋体" w:eastAsia="宋体" w:cs="宋体"/>
                <w:b w:val="0"/>
                <w:i w:val="0"/>
                <w:caps w:val="0"/>
                <w:color w:val="000000"/>
                <w:spacing w:val="0"/>
                <w:sz w:val="18"/>
                <w:szCs w:val="18"/>
                <w:bdr w:val="none" w:color="auto" w:sz="0" w:space="0"/>
              </w:rPr>
              <w:t>因素（偏差率）</w:t>
            </w:r>
          </w:p>
        </w:tc>
        <w:tc>
          <w:tcPr>
            <w:tcW w:w="46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000000"/>
                <w:spacing w:val="0"/>
                <w:sz w:val="18"/>
                <w:szCs w:val="18"/>
                <w:bdr w:val="none" w:color="auto" w:sz="0" w:space="0"/>
              </w:rPr>
              <w:t>评分标准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51"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18"/>
                <w:szCs w:val="18"/>
                <w:bdr w:val="none" w:color="auto" w:sz="0" w:space="0"/>
              </w:rPr>
              <w:t>1</w:t>
            </w:r>
          </w:p>
        </w:tc>
        <w:tc>
          <w:tcPr>
            <w:tcW w:w="1173"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18"/>
                <w:szCs w:val="18"/>
                <w:bdr w:val="none" w:color="auto" w:sz="0" w:space="0"/>
              </w:rPr>
              <w:t>1.1初步设计文件（≤20分、适用于房屋建筑工程）</w:t>
            </w:r>
          </w:p>
        </w:tc>
        <w:tc>
          <w:tcPr>
            <w:tcW w:w="2476"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1．设计说明书（2-4分）</w:t>
            </w:r>
          </w:p>
        </w:tc>
        <w:tc>
          <w:tcPr>
            <w:tcW w:w="46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1．设计说明能对项目的设计方案解读准确，构思新颖。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2．简述各专业的设计特点和系统组成。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3．项目设计的各项主要技术经济指标是否满足招标人功能需求。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4．项目设计是否符合国家规范标准及地方规划要求。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67" w:hRule="atLeast"/>
        </w:trPr>
        <w:tc>
          <w:tcPr>
            <w:tcW w:w="85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1173"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2476" w:type="dxa"/>
            <w:gridSpan w:val="2"/>
            <w:tcBorders>
              <w:top w:val="nil"/>
              <w:left w:val="nil"/>
              <w:bottom w:val="nil"/>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2．总平面设计（2-4分）</w:t>
            </w:r>
          </w:p>
        </w:tc>
        <w:tc>
          <w:tcPr>
            <w:tcW w:w="4680" w:type="dxa"/>
            <w:tcBorders>
              <w:top w:val="nil"/>
              <w:left w:val="nil"/>
              <w:bottom w:val="nil"/>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1．总平面设计构思及指导思想。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2．总平面设计结合自然环境和地域文脉，综合考虑地形、地质、日照、通风、防火、卫生、交通及环境保护等要求进行总体布局，使其满足使用功能、城市规划要求。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3．总平面设计技术安全、经济合理性、节能、节地、节水、节材等。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5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1173"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2476" w:type="dxa"/>
            <w:gridSpan w:val="2"/>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3.建筑设计（2-3分）</w:t>
            </w:r>
          </w:p>
        </w:tc>
        <w:tc>
          <w:tcPr>
            <w:tcW w:w="468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1．建筑设计各项内容完整合理并满足设计任务书要求。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2．建筑设计是否符合国家规范标准及地方规划要求。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3．各项经济技术指标是否满足招标人功能需求。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5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1173"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2476"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4.结构设计（2-3分）</w:t>
            </w:r>
          </w:p>
        </w:tc>
        <w:tc>
          <w:tcPr>
            <w:tcW w:w="46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1．结构设计各项内容完整合理并符合计任务书要求。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2．结构设计是否符合国家规范标准要求。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3．结构布置图和计算书是否符合国家法律法规及规范标准要求。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5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1173"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2476"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5．设备设计（建筑电气、给水排水、供暖通风与空气调节、热能动力等专项设计，每个专业工程1-2分）</w:t>
            </w:r>
          </w:p>
        </w:tc>
        <w:tc>
          <w:tcPr>
            <w:tcW w:w="46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1．各专业设计内容完整合理并满足设计任务书要求。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2．各专业设计是否符合国家规范标准及地方规划要求。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3．各专业设计的经济技术指标是否满足招标人功能需求。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5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1173"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2476"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6. 新技术、新材料、新设备和新结构应用（≤1分）</w:t>
            </w:r>
          </w:p>
        </w:tc>
        <w:tc>
          <w:tcPr>
            <w:tcW w:w="46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1．对采用新技术、新材料、新设备和新结构的情况进行评分。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5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1173"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2476"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7．绿色建筑与装配式建筑设计（≤1分）</w:t>
            </w:r>
          </w:p>
        </w:tc>
        <w:tc>
          <w:tcPr>
            <w:tcW w:w="46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1.采用科学合理的绿色建筑（建筑节能）措施。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2.提出切实可行的生态建筑理念与措施。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3.是否符合国家及地方的有关绿色建筑标准。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4．工程采用装配式技术。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51" w:type="dxa"/>
            <w:vMerge w:val="continue"/>
            <w:tcBorders>
              <w:top w:val="nil"/>
              <w:left w:val="single" w:color="auto" w:sz="8" w:space="0"/>
              <w:bottom w:val="single" w:color="auto" w:sz="4"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1173" w:type="dxa"/>
            <w:vMerge w:val="continue"/>
            <w:tcBorders>
              <w:top w:val="nil"/>
              <w:left w:val="nil"/>
              <w:bottom w:val="single" w:color="auto" w:sz="4"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2476" w:type="dxa"/>
            <w:gridSpan w:val="2"/>
            <w:tcBorders>
              <w:top w:val="nil"/>
              <w:left w:val="nil"/>
              <w:bottom w:val="single" w:color="auto" w:sz="4"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8、经济分析（≤1分）</w:t>
            </w:r>
          </w:p>
        </w:tc>
        <w:tc>
          <w:tcPr>
            <w:tcW w:w="4680" w:type="dxa"/>
            <w:tcBorders>
              <w:top w:val="nil"/>
              <w:left w:val="nil"/>
              <w:bottom w:val="single" w:color="auto" w:sz="4"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1．概算文件编制内容完整、合理。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2．是否符合设计说明书要求。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3．是否符合国家法律法规及规范标准的规定。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4．是否符合地方政府有关的政策文件规定。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51" w:type="dxa"/>
            <w:vMerge w:val="continue"/>
            <w:tcBorders>
              <w:top w:val="single" w:color="auto" w:sz="4"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1173" w:type="dxa"/>
            <w:vMerge w:val="continue"/>
            <w:tcBorders>
              <w:top w:val="single" w:color="auto" w:sz="4" w:space="0"/>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2476" w:type="dxa"/>
            <w:gridSpan w:val="2"/>
            <w:tcBorders>
              <w:top w:val="single" w:color="auto" w:sz="4" w:space="0"/>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9、设计深度（≤1分）</w:t>
            </w:r>
          </w:p>
        </w:tc>
        <w:tc>
          <w:tcPr>
            <w:tcW w:w="4680" w:type="dxa"/>
            <w:tcBorders>
              <w:top w:val="single" w:color="auto" w:sz="4" w:space="0"/>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1．是否符合设计任务书要求。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2．是否符合国家规定的《建筑工程设计文件编制深度规定》。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注：本项可视设计深度符合程度在0~1分之间酌情打分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5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1173"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7156"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注：招标人可根据项目的实际情况选择增加上述各评分因素，但“评审项”分值不得调整；也可在招标文件中细化明确评分标准的内容，但一般不得突破各评分因素的规定分值。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51"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18"/>
                <w:szCs w:val="18"/>
                <w:bdr w:val="none" w:color="auto" w:sz="0" w:space="0"/>
              </w:rPr>
              <w:t> </w:t>
            </w:r>
          </w:p>
        </w:tc>
        <w:tc>
          <w:tcPr>
            <w:tcW w:w="1173"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1.2初步设计文件（≤25分、适用于市政工程）</w:t>
            </w:r>
          </w:p>
        </w:tc>
        <w:tc>
          <w:tcPr>
            <w:tcW w:w="246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1．设计说明书（2-4分）</w:t>
            </w:r>
          </w:p>
        </w:tc>
        <w:tc>
          <w:tcPr>
            <w:tcW w:w="4696"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1.设计说明能对项目的设计方案解读准确，构思新颖。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2.简述各专业（附属）工程的设计特点。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3.项目设计的各项主要技术指标是否满足招标人功能需求。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4.项目设计是否符合国家规范标准及地方规划要求。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5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1173"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246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2．技术方案（6-12分）</w:t>
            </w:r>
          </w:p>
        </w:tc>
        <w:tc>
          <w:tcPr>
            <w:tcW w:w="4696" w:type="dxa"/>
            <w:gridSpan w:val="2"/>
            <w:tcBorders>
              <w:top w:val="nil"/>
              <w:left w:val="nil"/>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1．总体布置（总平面设计）。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2．设计原则。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2．设计依据。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4．各专项（附属）工程设计方案。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5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1173"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246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3．设计深度（3-5分）</w:t>
            </w:r>
          </w:p>
        </w:tc>
        <w:tc>
          <w:tcPr>
            <w:tcW w:w="4696" w:type="dxa"/>
            <w:gridSpan w:val="2"/>
            <w:tcBorders>
              <w:top w:val="nil"/>
              <w:left w:val="nil"/>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1．是否符合设计任务书要求。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2．是否符合国家规定的《市政公用工程设计文件编制深度规定》。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注：本项可视设计深度符合程度在0~5分之间酌情打分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304" w:hRule="atLeast"/>
        </w:trPr>
        <w:tc>
          <w:tcPr>
            <w:tcW w:w="85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1173"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2460" w:type="dxa"/>
            <w:tcBorders>
              <w:top w:val="nil"/>
              <w:left w:val="nil"/>
              <w:bottom w:val="nil"/>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18"/>
                <w:szCs w:val="18"/>
                <w:bdr w:val="none" w:color="auto" w:sz="0" w:space="0"/>
              </w:rPr>
              <w:t>4．绿色设计与新技术应用（1－2分）</w:t>
            </w:r>
          </w:p>
        </w:tc>
        <w:tc>
          <w:tcPr>
            <w:tcW w:w="4696" w:type="dxa"/>
            <w:gridSpan w:val="2"/>
            <w:tcBorders>
              <w:top w:val="nil"/>
              <w:left w:val="nil"/>
              <w:bottom w:val="nil"/>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1．提出切实可行的生态理念与措施。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2．是否符合国家及地方的有关绿色标准。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3．采用的新技术、新材料、新设备、新工艺等。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818" w:hRule="atLeast"/>
        </w:trPr>
        <w:tc>
          <w:tcPr>
            <w:tcW w:w="85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1173"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2460" w:type="dxa"/>
            <w:tcBorders>
              <w:top w:val="single" w:color="auto" w:sz="8" w:space="0"/>
              <w:left w:val="nil"/>
              <w:bottom w:val="nil"/>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5、经济分析（1-2分）</w:t>
            </w:r>
          </w:p>
        </w:tc>
        <w:tc>
          <w:tcPr>
            <w:tcW w:w="4696" w:type="dxa"/>
            <w:gridSpan w:val="2"/>
            <w:tcBorders>
              <w:top w:val="single" w:color="auto" w:sz="8" w:space="0"/>
              <w:left w:val="nil"/>
              <w:bottom w:val="nil"/>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1．概算文件编制内容完整、合理。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2．是否符合设计说明书。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3．是否符合国家法律法规及规范标准。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4．是否符合地方政府有关的政策文件规定。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5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1173"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7156" w:type="dxa"/>
            <w:gridSpan w:val="3"/>
            <w:tcBorders>
              <w:top w:val="single" w:color="auto" w:sz="8" w:space="0"/>
              <w:left w:val="nil"/>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注：招标人可根据项目的实际情况选择增加上述各评分因素，但“评审项”分值不得调整；也可在招标文件中细化明确评分标准的内容，但一般不得突破各评分因素的规定分值。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83" w:hRule="atLeast"/>
        </w:trPr>
        <w:tc>
          <w:tcPr>
            <w:tcW w:w="851" w:type="dxa"/>
            <w:vMerge w:val="restart"/>
            <w:tcBorders>
              <w:top w:val="nil"/>
              <w:left w:val="single" w:color="auto" w:sz="8" w:space="0"/>
              <w:bottom w:val="single" w:color="auto" w:sz="4"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18"/>
                <w:szCs w:val="18"/>
                <w:bdr w:val="none" w:color="auto" w:sz="0" w:space="0"/>
              </w:rPr>
              <w:t>2</w:t>
            </w:r>
          </w:p>
        </w:tc>
        <w:tc>
          <w:tcPr>
            <w:tcW w:w="1173" w:type="dxa"/>
            <w:vMerge w:val="restart"/>
            <w:tcBorders>
              <w:top w:val="nil"/>
              <w:left w:val="nil"/>
              <w:bottom w:val="single" w:color="auto" w:sz="4"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18"/>
                <w:szCs w:val="18"/>
                <w:bdr w:val="none" w:color="auto" w:sz="0" w:space="0"/>
              </w:rPr>
              <w:t>工程总承包报价（≥60分）</w:t>
            </w:r>
          </w:p>
        </w:tc>
        <w:tc>
          <w:tcPr>
            <w:tcW w:w="2476" w:type="dxa"/>
            <w:gridSpan w:val="2"/>
            <w:tcBorders>
              <w:top w:val="nil"/>
              <w:left w:val="nil"/>
              <w:bottom w:val="single" w:color="auto" w:sz="4"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18"/>
                <w:szCs w:val="18"/>
                <w:bdr w:val="none" w:color="auto" w:sz="0" w:space="0"/>
              </w:rPr>
              <w:t>报价评审（工程总承包范围内的所有费用）（≥58分）</w:t>
            </w:r>
          </w:p>
        </w:tc>
        <w:tc>
          <w:tcPr>
            <w:tcW w:w="4680" w:type="dxa"/>
            <w:tcBorders>
              <w:top w:val="nil"/>
              <w:left w:val="nil"/>
              <w:bottom w:val="single" w:color="auto" w:sz="4"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方法一：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以有效投标文件的最低评标价为评标基准价。投标报价等于评标基准价的得满分，每高1%的所扣分值不少于0.6分。偏离不足1%的，按照插入法计算得分。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方法二：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以有效投标文件的工程总承包报价进行算术平均，该平均值下浮 5%-10%（具体数值由招标人在招标文件中明确）为评标基准价。工程总承包投标报价等于或者低于评标基准价的得满分，每高1%的所扣分值不少于0.6分。偏离不足1%的，按照插入法计算得分。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868" w:hRule="atLeast"/>
        </w:trPr>
        <w:tc>
          <w:tcPr>
            <w:tcW w:w="851" w:type="dxa"/>
            <w:vMerge w:val="continue"/>
            <w:tcBorders>
              <w:top w:val="single" w:color="auto" w:sz="4"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1173" w:type="dxa"/>
            <w:vMerge w:val="continue"/>
            <w:tcBorders>
              <w:top w:val="single" w:color="auto" w:sz="4" w:space="0"/>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2476" w:type="dxa"/>
            <w:gridSpan w:val="2"/>
            <w:vMerge w:val="restart"/>
            <w:tcBorders>
              <w:top w:val="single" w:color="auto" w:sz="4" w:space="0"/>
              <w:left w:val="nil"/>
              <w:bottom w:val="nil"/>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投标报价合理性（≤2 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18"/>
                <w:szCs w:val="18"/>
                <w:bdr w:val="none" w:color="auto" w:sz="0" w:space="0"/>
              </w:rPr>
              <w:t> </w:t>
            </w:r>
          </w:p>
        </w:tc>
        <w:tc>
          <w:tcPr>
            <w:tcW w:w="4680" w:type="dxa"/>
            <w:tcBorders>
              <w:top w:val="single" w:color="auto" w:sz="4" w:space="0"/>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该项评审因素是否设立，由招标人自主确定，本项指标用于对工程总承包报价中不合理报价的评价，以下评审方法供参考：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1．工程总承包报价是否与招标范围相一致；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2．工程总承包报价是否与投标方案设计文件相匹配；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3．工程总承包报价是否与投标项目管理组织方案相匹配；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4．工程总承包报价中的风险金计取是否明确、合理。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755" w:hRule="atLeast"/>
        </w:trPr>
        <w:tc>
          <w:tcPr>
            <w:tcW w:w="85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1173"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2476" w:type="dxa"/>
            <w:gridSpan w:val="2"/>
            <w:vMerge w:val="continue"/>
            <w:tcBorders>
              <w:top w:val="nil"/>
              <w:left w:val="nil"/>
              <w:bottom w:val="nil"/>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4680" w:type="dxa"/>
            <w:tcBorders>
              <w:top w:val="nil"/>
              <w:left w:val="nil"/>
              <w:bottom w:val="nil"/>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说明：1.评标价指经澄清、补正和修正算术计算错误的投标报价；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2.有效投标文件是指未被评标委员会判定为无效标的投标文件。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51"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18"/>
                <w:szCs w:val="18"/>
                <w:bdr w:val="none" w:color="auto" w:sz="0" w:space="0"/>
              </w:rPr>
              <w:t>3</w:t>
            </w:r>
          </w:p>
        </w:tc>
        <w:tc>
          <w:tcPr>
            <w:tcW w:w="1173"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18"/>
                <w:szCs w:val="18"/>
                <w:bdr w:val="none" w:color="auto" w:sz="0" w:space="0"/>
              </w:rPr>
              <w:t>项目管理组织方案（≤12分）</w:t>
            </w:r>
          </w:p>
        </w:tc>
        <w:tc>
          <w:tcPr>
            <w:tcW w:w="2476" w:type="dxa"/>
            <w:gridSpan w:val="2"/>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1．总体概述（1-2分）</w:t>
            </w:r>
          </w:p>
        </w:tc>
        <w:tc>
          <w:tcPr>
            <w:tcW w:w="468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对工程总承包的总体设想、组织形式、各项管理目标及控制措施、设计、施工实施计划、设计与施工的协调措施等内容进行评分。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5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1173"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2476" w:type="dxa"/>
            <w:gridSpan w:val="2"/>
            <w:tcBorders>
              <w:top w:val="nil"/>
              <w:left w:val="nil"/>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2．采购管理方案（≤1分）</w:t>
            </w:r>
          </w:p>
        </w:tc>
        <w:tc>
          <w:tcPr>
            <w:tcW w:w="4680"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对采购工作程序、采购执行计划、采买、催交与检验、运输与交付、采购变更管理、仓储管理等内容进行评分。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41" w:hRule="atLeast"/>
        </w:trPr>
        <w:tc>
          <w:tcPr>
            <w:tcW w:w="85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1173"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2476"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3．施工平面布置规划（≤1分）</w:t>
            </w:r>
          </w:p>
        </w:tc>
        <w:tc>
          <w:tcPr>
            <w:tcW w:w="46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对施工现场平面布置和临时设施、临时道路布置等内容进行评分。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20" w:hRule="atLeast"/>
        </w:trPr>
        <w:tc>
          <w:tcPr>
            <w:tcW w:w="85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1173"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2476"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4．施工的重点难点（1-2分）</w:t>
            </w:r>
          </w:p>
        </w:tc>
        <w:tc>
          <w:tcPr>
            <w:tcW w:w="46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对关键施工技术、工艺及工程项目实施的重点、难点和解决方案等内容进行评分。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5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1173"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2476" w:type="dxa"/>
            <w:gridSpan w:val="2"/>
            <w:tcBorders>
              <w:top w:val="nil"/>
              <w:left w:val="nil"/>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5．施工资源投入计划（≤1分）</w:t>
            </w:r>
          </w:p>
        </w:tc>
        <w:tc>
          <w:tcPr>
            <w:tcW w:w="46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对劳动力、机械设备和材料投入计划进行评分。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5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1173"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2476" w:type="dxa"/>
            <w:gridSpan w:val="2"/>
            <w:tcBorders>
              <w:top w:val="nil"/>
              <w:left w:val="nil"/>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6．项目管理机构（1-2分）</w:t>
            </w:r>
          </w:p>
        </w:tc>
        <w:tc>
          <w:tcPr>
            <w:tcW w:w="4680"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对工程总承包项目经理、设计负责人、施工项目经理、项目管理机构人员配置情况及取得的专业类别、技术职称级别、岗位证书、执业资格、工作经历等，招标文件中明确一定的标准进行评分。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5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1173"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2476" w:type="dxa"/>
            <w:gridSpan w:val="2"/>
            <w:tcBorders>
              <w:top w:val="nil"/>
              <w:left w:val="nil"/>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7．新技术、新产品、新工艺、新材料（≤1分）</w:t>
            </w:r>
          </w:p>
        </w:tc>
        <w:tc>
          <w:tcPr>
            <w:tcW w:w="4680"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对采用新技术、新产品、新工艺、新材料的情况进行评分。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42" w:hRule="atLeast"/>
        </w:trPr>
        <w:tc>
          <w:tcPr>
            <w:tcW w:w="85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1173"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2476"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8．建筑信息模型（BIM）技术（≤1分）</w:t>
            </w:r>
          </w:p>
        </w:tc>
        <w:tc>
          <w:tcPr>
            <w:tcW w:w="46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对建筑信息模型（BIM）技术的使用等内容进行评分。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51" w:type="dxa"/>
            <w:vMerge w:val="continue"/>
            <w:tcBorders>
              <w:top w:val="nil"/>
              <w:left w:val="single" w:color="auto" w:sz="8" w:space="0"/>
              <w:bottom w:val="single" w:color="auto" w:sz="4"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1173" w:type="dxa"/>
            <w:vMerge w:val="continue"/>
            <w:tcBorders>
              <w:top w:val="nil"/>
              <w:left w:val="nil"/>
              <w:bottom w:val="single" w:color="auto" w:sz="4"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2476" w:type="dxa"/>
            <w:gridSpan w:val="2"/>
            <w:tcBorders>
              <w:top w:val="nil"/>
              <w:left w:val="nil"/>
              <w:bottom w:val="single" w:color="auto" w:sz="4"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9．工程总承包项目经理陈述及答辩（≤1分）</w:t>
            </w:r>
          </w:p>
        </w:tc>
        <w:tc>
          <w:tcPr>
            <w:tcW w:w="4680" w:type="dxa"/>
            <w:tcBorders>
              <w:top w:val="nil"/>
              <w:left w:val="nil"/>
              <w:bottom w:val="single" w:color="auto" w:sz="4"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招标人可以要求投标工程总承包项目经理在评标环节陈述项目管理组织方案的主要内容或者现场回答评标委员会提出的问题（以书面为主），评分分值控制在1分以内。评标委员会拟定答辩题目时，应同时明确答案及得分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51" w:type="dxa"/>
            <w:vMerge w:val="continue"/>
            <w:tcBorders>
              <w:top w:val="single" w:color="auto" w:sz="4"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1173" w:type="dxa"/>
            <w:vMerge w:val="continue"/>
            <w:tcBorders>
              <w:top w:val="single" w:color="auto" w:sz="4" w:space="0"/>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7156" w:type="dxa"/>
            <w:gridSpan w:val="3"/>
            <w:tcBorders>
              <w:top w:val="single" w:color="auto" w:sz="4" w:space="0"/>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注：1．招标人可根据项目的实际情况选择增加上述各评分因素，但“评审项”分值不得调整；也可在招标文件中细化明确评分标准的内容，但一般不得突破各评分因素的规定分值。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2．项目管理组织方案总篇幅一般不超过100页（技术特别复杂的工程可适当增加），具体篇幅(字数)要求及扣分标准，招标人应在招标文件中明确。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3．项目管理组织方案各评分点得分应当取所有技术标评委评分中分别去掉一个最高和最低评分后的平均值为最终得分。项目管理组织方案中（项目管理机构评分点除外）除缺少相应内容的评审要点不得分外，其它各项评审要点得分不应低于该评审要点满分的70%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86" w:hRule="atLeast"/>
        </w:trPr>
        <w:tc>
          <w:tcPr>
            <w:tcW w:w="851"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18"/>
                <w:szCs w:val="18"/>
                <w:bdr w:val="none" w:color="auto" w:sz="0" w:space="0"/>
              </w:rPr>
              <w:t>4</w:t>
            </w:r>
          </w:p>
        </w:tc>
        <w:tc>
          <w:tcPr>
            <w:tcW w:w="1173"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工程业绩（≤3分）</w:t>
            </w:r>
          </w:p>
        </w:tc>
        <w:tc>
          <w:tcPr>
            <w:tcW w:w="2476"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1．投标人类似工程业绩（≤1分）</w:t>
            </w:r>
          </w:p>
        </w:tc>
        <w:tc>
          <w:tcPr>
            <w:tcW w:w="46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对单位承担过类似及以上的工程总承包业绩加分，累计不超过1分（其类似工程执行苏建规字（2017）1号文的相应规定，招标文件中应当明确投标人承担过单个类似及以上工程的分值），如仅有类似设计业绩乘0.8，如仅有类似施工业绩乘0.7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注：联合体承担过的工程总承包业绩分值计算方法为：牵头方按该项分值的100%记取、参与方按该项分值的60%记取。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20" w:hRule="atLeast"/>
        </w:trPr>
        <w:tc>
          <w:tcPr>
            <w:tcW w:w="85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1173"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2476"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2．工程总承包项目经理类似工程业绩（≤2分）</w:t>
            </w:r>
          </w:p>
        </w:tc>
        <w:tc>
          <w:tcPr>
            <w:tcW w:w="46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对工程总承包项目经理承担过类似及以上的工程总承包业绩加分，累计不超过2分（其类似工程执行苏建规字（2017）1号文的相应规定，招标文件中应当明确投标工程总承包项目经理承担过单个类似及以上工程的分值），如仅有类似设计业绩乘0.8，如仅有类似施工业绩乘0.7。</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A94CF0"/>
    <w:rsid w:val="4B217EAE"/>
    <w:rsid w:val="669B7D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2018-02-12T01:26:17Z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